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drawing>
          <wp:inline distT="0" distB="0" distL="0" distR="0">
            <wp:extent cx="1428750" cy="381000"/>
            <wp:effectExtent t="0" r="0" b="0" l="0"/>
            <wp:docPr id="1" name="Fluxel" descr="Logo Fluxel" title="Flu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428750" cy="381000"/>
                    </a:xfrm>
                    <a:prstGeom prst="rect">
                      <a:avLst/>
                    </a:prstGeom>
                  </pic:spPr>
                </pic:pic>
              </a:graphicData>
            </a:graphic>
          </wp:inline>
        </w:drawing>
      </w:r>
    </w:p>
    <w:p>
      <w:pPr>
        <w:pStyle w:val="Heading1"/>
      </w:pPr>
      <w:r>
        <w:t xml:space="preserve">Dossier de financement — Projet Fluxel</w:t>
      </w:r>
    </w:p>
    <w:p>
      <w:pPr>
        <w:spacing w:after="120"/>
      </w:pPr>
      <w:r>
        <w:rPr>
          <w:b w:val="false"/>
          <w:bCs w:val="false"/>
          <w:i/>
          <w:iCs/>
          <w:color w:val="555555"/>
        </w:rPr>
        <w:t xml:space="preserve">Gabarit a remplir pour une demande d'aide financiere (adoption de l'IA / transformation numerique). Remplissez les champs, puis enregistrez ou imprimez.</w:t>
      </w:r>
    </w:p>
    <w:p>
      <w:pPr>
        <w:pBdr>
          <w:left w:val="single" w:color="F8D06B" w:sz="18" w:space="8"/>
        </w:pBdr>
        <w:shd w:fill="FFF7E0" w:val="clear"/>
        <w:spacing w:after="160" w:before="120"/>
      </w:pPr>
      <w:r>
        <w:rPr>
          <w:b/>
          <w:bCs/>
        </w:rPr>
        <w:t xml:space="preserve">Projet recevable au financement. </w:t>
      </w:r>
      <w:r>
        <w:t xml:space="preserve">Dans plusieurs cas, une PME qui implante Fluxel peut deposer un projet d'adoption de l'IA ou de transformation numerique afin d'obtenir une aide couvrant une partie des couts (analyse, integration, deploiement, formation). Fluxel fournit la description technique, les objectifs, le budget, les livrables et les retombees attendues.</w:t>
      </w:r>
    </w:p>
    <w:p>
      <w:pPr>
        <w:pStyle w:val="Heading2"/>
      </w:pPr>
      <w:r>
        <w:t xml:space="preserve">1. Profil de l'entreprise (CV executif)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c>
          <w:tcPr>
            <w:tcW w:type="dxa" w:w="3400"/>
            <w:tcBorders>
              <w:top w:val="single" w:color="CCCCCC" w:sz="1"/>
              <w:left w:val="single" w:color="CCCCCC" w:sz="1"/>
              <w:bottom w:val="single" w:color="CCCCCC" w:sz="1"/>
              <w:right w:val="single" w:color="CCCCCC" w:sz="1"/>
            </w:tcBorders>
            <w:shd w:fill="F1F5F9" w:val="clear"/>
            <w:tcMar>
              <w:top w:type="dxa" w:w="90"/>
              <w:left w:type="dxa" w:w="130"/>
              <w:bottom w:type="dxa" w:w="90"/>
              <w:right w:type="dxa" w:w="130"/>
            </w:tcMar>
          </w:tcPr>
          <w:p>
            <w:r>
              <w:rPr>
                <w:b/>
                <w:bCs/>
              </w:rPr>
              <w:t xml:space="preserve">Nom de l'entreprise</w:t>
            </w:r>
          </w:p>
        </w:tc>
        <w:tc>
          <w:tcPr>
            <w:tcW w:type="dxa" w:w="59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3400"/>
            <w:tcBorders>
              <w:top w:val="single" w:color="CCCCCC" w:sz="1"/>
              <w:left w:val="single" w:color="CCCCCC" w:sz="1"/>
              <w:bottom w:val="single" w:color="CCCCCC" w:sz="1"/>
              <w:right w:val="single" w:color="CCCCCC" w:sz="1"/>
            </w:tcBorders>
            <w:shd w:fill="F1F5F9" w:val="clear"/>
            <w:tcMar>
              <w:top w:type="dxa" w:w="90"/>
              <w:left w:type="dxa" w:w="130"/>
              <w:bottom w:type="dxa" w:w="90"/>
              <w:right w:type="dxa" w:w="130"/>
            </w:tcMar>
          </w:tcPr>
          <w:p>
            <w:r>
              <w:rPr>
                <w:b/>
                <w:bCs/>
              </w:rPr>
              <w:t xml:space="preserve">Secteur d'activité</w:t>
            </w:r>
          </w:p>
        </w:tc>
        <w:tc>
          <w:tcPr>
            <w:tcW w:type="dxa" w:w="59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3400"/>
            <w:tcBorders>
              <w:top w:val="single" w:color="CCCCCC" w:sz="1"/>
              <w:left w:val="single" w:color="CCCCCC" w:sz="1"/>
              <w:bottom w:val="single" w:color="CCCCCC" w:sz="1"/>
              <w:right w:val="single" w:color="CCCCCC" w:sz="1"/>
            </w:tcBorders>
            <w:shd w:fill="F1F5F9" w:val="clear"/>
            <w:tcMar>
              <w:top w:type="dxa" w:w="90"/>
              <w:left w:type="dxa" w:w="130"/>
              <w:bottom w:type="dxa" w:w="90"/>
              <w:right w:type="dxa" w:w="130"/>
            </w:tcMar>
          </w:tcPr>
          <w:p>
            <w:r>
              <w:rPr>
                <w:b/>
                <w:bCs/>
              </w:rPr>
              <w:t xml:space="preserve">Ville / région</w:t>
            </w:r>
          </w:p>
        </w:tc>
        <w:tc>
          <w:tcPr>
            <w:tcW w:type="dxa" w:w="59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3400"/>
            <w:tcBorders>
              <w:top w:val="single" w:color="CCCCCC" w:sz="1"/>
              <w:left w:val="single" w:color="CCCCCC" w:sz="1"/>
              <w:bottom w:val="single" w:color="CCCCCC" w:sz="1"/>
              <w:right w:val="single" w:color="CCCCCC" w:sz="1"/>
            </w:tcBorders>
            <w:shd w:fill="F1F5F9" w:val="clear"/>
            <w:tcMar>
              <w:top w:type="dxa" w:w="90"/>
              <w:left w:type="dxa" w:w="130"/>
              <w:bottom w:type="dxa" w:w="90"/>
              <w:right w:type="dxa" w:w="130"/>
            </w:tcMar>
          </w:tcPr>
          <w:p>
            <w:r>
              <w:rPr>
                <w:b/>
                <w:bCs/>
              </w:rPr>
              <w:t xml:space="preserve">Nombre d'employés</w:t>
            </w:r>
          </w:p>
        </w:tc>
        <w:tc>
          <w:tcPr>
            <w:tcW w:type="dxa" w:w="59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3400"/>
            <w:tcBorders>
              <w:top w:val="single" w:color="CCCCCC" w:sz="1"/>
              <w:left w:val="single" w:color="CCCCCC" w:sz="1"/>
              <w:bottom w:val="single" w:color="CCCCCC" w:sz="1"/>
              <w:right w:val="single" w:color="CCCCCC" w:sz="1"/>
            </w:tcBorders>
            <w:shd w:fill="F1F5F9" w:val="clear"/>
            <w:tcMar>
              <w:top w:type="dxa" w:w="90"/>
              <w:left w:type="dxa" w:w="130"/>
              <w:bottom w:type="dxa" w:w="90"/>
              <w:right w:type="dxa" w:w="130"/>
            </w:tcMar>
          </w:tcPr>
          <w:p>
            <w:r>
              <w:rPr>
                <w:b/>
                <w:bCs/>
              </w:rPr>
              <w:t xml:space="preserve">Personne responsable du projet</w:t>
            </w:r>
          </w:p>
        </w:tc>
        <w:tc>
          <w:tcPr>
            <w:tcW w:type="dxa" w:w="59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3400"/>
            <w:tcBorders>
              <w:top w:val="single" w:color="CCCCCC" w:sz="1"/>
              <w:left w:val="single" w:color="CCCCCC" w:sz="1"/>
              <w:bottom w:val="single" w:color="CCCCCC" w:sz="1"/>
              <w:right w:val="single" w:color="CCCCCC" w:sz="1"/>
            </w:tcBorders>
            <w:shd w:fill="F1F5F9" w:val="clear"/>
            <w:tcMar>
              <w:top w:type="dxa" w:w="90"/>
              <w:left w:type="dxa" w:w="130"/>
              <w:bottom w:type="dxa" w:w="90"/>
              <w:right w:type="dxa" w:w="130"/>
            </w:tcMar>
          </w:tcPr>
          <w:p>
            <w:r>
              <w:rPr>
                <w:b/>
                <w:bCs/>
              </w:rPr>
              <w:t xml:space="preserve">Coordonnées (courriel / téléphone)</w:t>
            </w:r>
          </w:p>
        </w:tc>
        <w:tc>
          <w:tcPr>
            <w:tcW w:type="dxa" w:w="59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bl>
    <w:p>
      <w:pPr>
        <w:spacing w:before="160"/>
      </w:pPr>
      <w:r>
        <w:rPr>
          <w:b/>
          <w:bCs/>
        </w:rPr>
        <w:t xml:space="preserve">Nom du projet : </w:t>
      </w:r>
      <w:r>
        <w:t xml:space="preserve">Implantation d'un assistant virtuel IA Fluxel pour l'automatisation de l'accueil, des rendez-vous et des suivis clients.</w:t>
      </w:r>
    </w:p>
    <w:p>
      <w:pPr>
        <w:spacing w:before="80"/>
      </w:pPr>
      <w:r>
        <w:rPr>
          <w:b/>
          <w:bCs/>
        </w:rPr>
        <w:t xml:space="preserve">Resume du projet : </w:t>
      </w:r>
      <w:r>
        <w:t xml:space="preserve">L'entreprise souhaite deployer une solution d'IA et d'automatisation afin d'ameliorer la gestion des demandes entrantes, reduire les delais de reponse, diminuer les taches repetitives et ameliorer l'experience client. Le projet comprend l'analyse des besoins, la configuration de Fluxel, l'integration aux outils de communication et d'agenda, la mise en production et la formation de l'equipe.</w:t>
      </w:r>
    </w:p>
    <w:p>
      <w:pPr>
        <w:pStyle w:val="Heading2"/>
      </w:pPr>
      <w:r>
        <w:t xml:space="preserve">2. Probleme d'affaires</w:t>
      </w:r>
    </w:p>
    <w:p>
      <w:pPr>
        <w:pStyle w:val="ListParagraph"/>
        <w:numPr>
          <w:ilvl w:val="0"/>
          <w:numId w:val="2"/>
        </w:numPr>
      </w:pPr>
      <w:r>
        <w:t xml:space="preserve">Appels ou messages manques hors heures.</w:t>
      </w:r>
    </w:p>
    <w:p>
      <w:pPr>
        <w:pStyle w:val="ListParagraph"/>
        <w:numPr>
          <w:ilvl w:val="0"/>
          <w:numId w:val="2"/>
        </w:numPr>
      </w:pPr>
      <w:r>
        <w:t xml:space="preserve">Rendez-vous perdus ou mal confirmes.</w:t>
      </w:r>
    </w:p>
    <w:p>
      <w:pPr>
        <w:pStyle w:val="ListParagraph"/>
        <w:numPr>
          <w:ilvl w:val="0"/>
          <w:numId w:val="2"/>
        </w:numPr>
      </w:pPr>
      <w:r>
        <w:t xml:space="preserve">Relances manuelles chronophages.</w:t>
      </w:r>
    </w:p>
    <w:p>
      <w:pPr>
        <w:pStyle w:val="ListParagraph"/>
        <w:numPr>
          <w:ilvl w:val="0"/>
          <w:numId w:val="2"/>
        </w:numPr>
      </w:pPr>
      <w:r>
        <w:t xml:space="preserve">Reception debordee.</w:t>
      </w:r>
    </w:p>
    <w:p>
      <w:pPr>
        <w:pStyle w:val="ListParagraph"/>
        <w:numPr>
          <w:ilvl w:val="0"/>
          <w:numId w:val="2"/>
        </w:numPr>
      </w:pPr>
      <w:r>
        <w:t xml:space="preserve">Manque de suivi des prospects ou des demandes clients.</w:t>
      </w:r>
    </w:p>
    <w:p>
      <w:pPr>
        <w:pStyle w:val="ListParagraph"/>
        <w:numPr>
          <w:ilvl w:val="0"/>
          <w:numId w:val="2"/>
        </w:numPr>
      </w:pPr>
      <w:r>
        <w:t xml:space="preserve">Faible tracabilite des demandes entrantes.</w:t>
      </w:r>
    </w:p>
    <w:p>
      <w:pPr>
        <w:pStyle w:val="Heading2"/>
      </w:pPr>
      <w:r>
        <w:t xml:space="preserve">3. Objectifs du projet (6 a 12 mois)</w:t>
      </w:r>
    </w:p>
    <w:p>
      <w:pPr>
        <w:pStyle w:val="ListParagraph"/>
        <w:numPr>
          <w:ilvl w:val="0"/>
          <w:numId w:val="2"/>
        </w:numPr>
      </w:pPr>
      <w:r>
        <w:t xml:space="preserve">Repondre automatiquement aux demandes simples 24 h/24, 7 j/7.</w:t>
      </w:r>
    </w:p>
    <w:p>
      <w:pPr>
        <w:pStyle w:val="ListParagraph"/>
        <w:numPr>
          <w:ilvl w:val="0"/>
          <w:numId w:val="2"/>
        </w:numPr>
      </w:pPr>
      <w:r>
        <w:t xml:space="preserve">Reduire le delai moyen de reponse.</w:t>
      </w:r>
    </w:p>
    <w:p>
      <w:pPr>
        <w:pStyle w:val="ListParagraph"/>
        <w:numPr>
          <w:ilvl w:val="0"/>
          <w:numId w:val="2"/>
        </w:numPr>
      </w:pPr>
      <w:r>
        <w:t xml:space="preserve">Diminuer les non-presentations grace aux rappels automatiques.</w:t>
      </w:r>
    </w:p>
    <w:p>
      <w:pPr>
        <w:pStyle w:val="ListParagraph"/>
        <w:numPr>
          <w:ilvl w:val="0"/>
          <w:numId w:val="2"/>
        </w:numPr>
      </w:pPr>
      <w:r>
        <w:t xml:space="preserve">Ameliorer la qualification et le suivi des leads.</w:t>
      </w:r>
    </w:p>
    <w:p>
      <w:pPr>
        <w:pStyle w:val="ListParagraph"/>
        <w:numPr>
          <w:ilvl w:val="0"/>
          <w:numId w:val="2"/>
        </w:numPr>
      </w:pPr>
      <w:r>
        <w:t xml:space="preserve">Reduire le temps administratif du personnel.</w:t>
      </w:r>
    </w:p>
    <w:p>
      <w:pPr>
        <w:pStyle w:val="ListParagraph"/>
        <w:numPr>
          <w:ilvl w:val="0"/>
          <w:numId w:val="2"/>
        </w:numPr>
      </w:pPr>
      <w:r>
        <w:t xml:space="preserve">Structurer la transformation numerique de l'accueil et du suivi client.</w:t>
      </w:r>
    </w:p>
    <w:p>
      <w:pPr>
        <w:pStyle w:val="Heading2"/>
      </w:pPr>
      <w:r>
        <w:t xml:space="preserve">4. Description de la solution Fluxel</w:t>
      </w:r>
    </w:p>
    <w:p>
      <w:pPr>
        <w:pStyle w:val="ListParagraph"/>
        <w:numPr>
          <w:ilvl w:val="0"/>
          <w:numId w:val="2"/>
        </w:numPr>
      </w:pPr>
      <w:r>
        <w:t xml:space="preserve">Reception automatisee 24/7 et reponses aux questions frequentes (SMS, messages).</w:t>
      </w:r>
    </w:p>
    <w:p>
      <w:pPr>
        <w:pStyle w:val="ListParagraph"/>
        <w:numPr>
          <w:ilvl w:val="0"/>
          <w:numId w:val="2"/>
        </w:numPr>
      </w:pPr>
      <w:r>
        <w:t xml:space="preserve">Qualification des demandes et rappels de rendez-vous (reduction des absences).</w:t>
      </w:r>
    </w:p>
    <w:p>
      <w:pPr>
        <w:pStyle w:val="ListParagraph"/>
        <w:numPr>
          <w:ilvl w:val="0"/>
          <w:numId w:val="2"/>
        </w:numPr>
      </w:pPr>
      <w:r>
        <w:t xml:space="preserve">Synchronisation avec un agenda / calendrier.</w:t>
      </w:r>
    </w:p>
    <w:p>
      <w:pPr>
        <w:pStyle w:val="ListParagraph"/>
        <w:numPr>
          <w:ilvl w:val="0"/>
          <w:numId w:val="2"/>
        </w:numPr>
      </w:pPr>
      <w:r>
        <w:t xml:space="preserve">Journalisation des interactions et tableaux de suivi.</w:t>
      </w:r>
    </w:p>
    <w:p>
      <w:pPr>
        <w:pStyle w:val="Heading2"/>
      </w:pPr>
      <w:r>
        <w:t xml:space="preserve">5. Activites du projet</w:t>
      </w:r>
    </w:p>
    <w:p>
      <w:pPr>
        <w:spacing w:after="120"/>
      </w:pPr>
      <w:r>
        <w:rPr>
          <w:b w:val="false"/>
          <w:bCs w:val="false"/>
          <w:i w:val="false"/>
          <w:iCs w:val="false"/>
        </w:rPr>
        <w:t xml:space="preserve">Phase 1 — Diagnostic : analyse des processus, cartographie des demandes, cas d'usage prioritaires, contraintes techniques et reglementaires.</w:t>
      </w:r>
    </w:p>
    <w:p>
      <w:pPr>
        <w:spacing w:after="120"/>
      </w:pPr>
      <w:r>
        <w:rPr>
          <w:b w:val="false"/>
          <w:bCs w:val="false"/>
          <w:i w:val="false"/>
          <w:iCs w:val="false"/>
        </w:rPr>
        <w:t xml:space="preserve">Phase 2 — Conception et configuration : parametrage des scenarios, regles d'automatisation, agenda et canaux, messages et flux d'escalade.</w:t>
      </w:r>
    </w:p>
    <w:p>
      <w:pPr>
        <w:spacing w:after="120"/>
      </w:pPr>
      <w:r>
        <w:rPr>
          <w:b w:val="false"/>
          <w:bCs w:val="false"/>
          <w:i w:val="false"/>
          <w:iCs w:val="false"/>
        </w:rPr>
        <w:t xml:space="preserve">Phase 3 — Integration et tests : integration aux outils retenus, tests fonctionnels, ajustements selon les cas reels, validation avant deploiement.</w:t>
      </w:r>
    </w:p>
    <w:p>
      <w:pPr>
        <w:spacing w:after="120"/>
      </w:pPr>
      <w:r>
        <w:rPr>
          <w:b w:val="false"/>
          <w:bCs w:val="false"/>
          <w:i w:val="false"/>
          <w:iCs w:val="false"/>
        </w:rPr>
        <w:t xml:space="preserve">Phase 4 — Deploiement et adoption : mise en production, formation du personnel, suivi de performance, ajustements apres mise en service.</w:t>
      </w:r>
    </w:p>
    <w:p>
      <w:pPr>
        <w:pStyle w:val="Heading2"/>
      </w:pPr>
      <w:r>
        <w:t xml:space="preserve">6. Resultats attendus</w:t>
      </w:r>
    </w:p>
    <w:p>
      <w:pPr>
        <w:pStyle w:val="ListParagraph"/>
        <w:numPr>
          <w:ilvl w:val="0"/>
          <w:numId w:val="2"/>
        </w:numPr>
      </w:pPr>
      <w:r>
        <w:t xml:space="preserve">Hausse du taux de reponse aux demandes entrantes.</w:t>
      </w:r>
    </w:p>
    <w:p>
      <w:pPr>
        <w:pStyle w:val="ListParagraph"/>
        <w:numPr>
          <w:ilvl w:val="0"/>
          <w:numId w:val="2"/>
        </w:numPr>
      </w:pPr>
      <w:r>
        <w:t xml:space="preserve">Reduction du temps administratif par semaine.</w:t>
      </w:r>
    </w:p>
    <w:p>
      <w:pPr>
        <w:pStyle w:val="ListParagraph"/>
        <w:numPr>
          <w:ilvl w:val="0"/>
          <w:numId w:val="2"/>
        </w:numPr>
      </w:pPr>
      <w:r>
        <w:t xml:space="preserve">Diminution des rendez-vous oublies.</w:t>
      </w:r>
    </w:p>
    <w:p>
      <w:pPr>
        <w:pStyle w:val="ListParagraph"/>
        <w:numPr>
          <w:ilvl w:val="0"/>
          <w:numId w:val="2"/>
        </w:numPr>
      </w:pPr>
      <w:r>
        <w:t xml:space="preserve">Meilleure disponibilite du personnel pour les taches a valeur ajoutee.</w:t>
      </w:r>
    </w:p>
    <w:p>
      <w:pPr>
        <w:pStyle w:val="ListParagraph"/>
        <w:numPr>
          <w:ilvl w:val="0"/>
          <w:numId w:val="2"/>
        </w:numPr>
      </w:pPr>
      <w:r>
        <w:t xml:space="preserve">Amelioration de l'experience client et de la rapidite de prise en charge.</w:t>
      </w:r>
    </w:p>
    <w:p>
      <w:pPr>
        <w:pStyle w:val="Heading2"/>
      </w:pPr>
      <w:r>
        <w:t xml:space="preserve">7. Indicateurs de performance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360"/>
        <w:gridCol w:w="2500"/>
        <w:gridCol w:w="2500"/>
      </w:tblGrid>
      <w:tr>
        <w:trPr>
          <w:tblHeader/>
        </w:trPr>
        <w:tc>
          <w:tcPr>
            <w:tcW w:type="dxa" w:w="4360"/>
            <w:tcBorders>
              <w:top w:val="single" w:color="CCCCCC" w:sz="1"/>
              <w:left w:val="single" w:color="CCCCCC" w:sz="1"/>
              <w:bottom w:val="single" w:color="CCCCCC" w:sz="1"/>
              <w:right w:val="single" w:color="CCCCCC" w:sz="1"/>
            </w:tcBorders>
            <w:shd w:fill="0B1020" w:val="clear"/>
            <w:tcMar>
              <w:top w:type="dxa" w:w="90"/>
              <w:left w:type="dxa" w:w="130"/>
              <w:bottom w:type="dxa" w:w="90"/>
              <w:right w:type="dxa" w:w="130"/>
            </w:tcMar>
          </w:tcPr>
          <w:p>
            <w:r>
              <w:rPr>
                <w:b/>
                <w:bCs/>
                <w:color w:val="FFFFFF"/>
              </w:rPr>
              <w:t xml:space="preserve">Indicateur</w:t>
            </w:r>
          </w:p>
        </w:tc>
        <w:tc>
          <w:tcPr>
            <w:tcW w:type="dxa" w:w="2500"/>
            <w:tcBorders>
              <w:top w:val="single" w:color="CCCCCC" w:sz="1"/>
              <w:left w:val="single" w:color="CCCCCC" w:sz="1"/>
              <w:bottom w:val="single" w:color="CCCCCC" w:sz="1"/>
              <w:right w:val="single" w:color="CCCCCC" w:sz="1"/>
            </w:tcBorders>
            <w:shd w:fill="0B1020" w:val="clear"/>
            <w:tcMar>
              <w:top w:type="dxa" w:w="90"/>
              <w:left w:type="dxa" w:w="130"/>
              <w:bottom w:type="dxa" w:w="90"/>
              <w:right w:type="dxa" w:w="130"/>
            </w:tcMar>
          </w:tcPr>
          <w:p>
            <w:r>
              <w:rPr>
                <w:b/>
                <w:bCs/>
                <w:color w:val="FFFFFF"/>
              </w:rPr>
              <w:t xml:space="preserve">Situation actuelle</w:t>
            </w:r>
          </w:p>
        </w:tc>
        <w:tc>
          <w:tcPr>
            <w:tcW w:type="dxa" w:w="2500"/>
            <w:tcBorders>
              <w:top w:val="single" w:color="CCCCCC" w:sz="1"/>
              <w:left w:val="single" w:color="CCCCCC" w:sz="1"/>
              <w:bottom w:val="single" w:color="CCCCCC" w:sz="1"/>
              <w:right w:val="single" w:color="CCCCCC" w:sz="1"/>
            </w:tcBorders>
            <w:shd w:fill="0B1020" w:val="clear"/>
            <w:tcMar>
              <w:top w:type="dxa" w:w="90"/>
              <w:left w:type="dxa" w:w="130"/>
              <w:bottom w:type="dxa" w:w="90"/>
              <w:right w:type="dxa" w:w="130"/>
            </w:tcMar>
          </w:tcPr>
          <w:p>
            <w:r>
              <w:rPr>
                <w:b/>
                <w:bCs/>
                <w:color w:val="FFFFFF"/>
              </w:rPr>
              <w:t xml:space="preserve">Cible après projet</w:t>
            </w:r>
          </w:p>
        </w:tc>
      </w:tr>
      <w:tr>
        <w:tc>
          <w:tcPr>
            <w:tcW w:type="dxa" w:w="43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Délai moyen de réponse</w:t>
            </w:r>
          </w:p>
        </w:tc>
        <w:tc>
          <w:tcPr>
            <w:tcW w:type="dxa" w:w="25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c>
          <w:tcPr>
            <w:tcW w:type="dxa" w:w="25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43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Taux de messages répondus</w:t>
            </w:r>
          </w:p>
        </w:tc>
        <w:tc>
          <w:tcPr>
            <w:tcW w:type="dxa" w:w="25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c>
          <w:tcPr>
            <w:tcW w:type="dxa" w:w="25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43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Taux de non-présentation (no-show)</w:t>
            </w:r>
          </w:p>
        </w:tc>
        <w:tc>
          <w:tcPr>
            <w:tcW w:type="dxa" w:w="25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c>
          <w:tcPr>
            <w:tcW w:type="dxa" w:w="25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43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Temps administratif hebdomadaire</w:t>
            </w:r>
          </w:p>
        </w:tc>
        <w:tc>
          <w:tcPr>
            <w:tcW w:type="dxa" w:w="25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c>
          <w:tcPr>
            <w:tcW w:type="dxa" w:w="25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43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Nombre de leads suivis</w:t>
            </w:r>
          </w:p>
        </w:tc>
        <w:tc>
          <w:tcPr>
            <w:tcW w:type="dxa" w:w="25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c>
          <w:tcPr>
            <w:tcW w:type="dxa" w:w="25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bl>
    <w:p>
      <w:pPr>
        <w:pStyle w:val="Heading2"/>
      </w:pPr>
      <w:r>
        <w:t xml:space="preserve">8. Budget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360"/>
        <w:gridCol w:w="3000"/>
      </w:tblGrid>
      <w:tr>
        <w:trPr>
          <w:tblHeader/>
        </w:trPr>
        <w:tc>
          <w:tcPr>
            <w:tcW w:type="dxa" w:w="6360"/>
            <w:tcBorders>
              <w:top w:val="single" w:color="CCCCCC" w:sz="1"/>
              <w:left w:val="single" w:color="CCCCCC" w:sz="1"/>
              <w:bottom w:val="single" w:color="CCCCCC" w:sz="1"/>
              <w:right w:val="single" w:color="CCCCCC" w:sz="1"/>
            </w:tcBorders>
            <w:shd w:fill="0B1020" w:val="clear"/>
            <w:tcMar>
              <w:top w:type="dxa" w:w="90"/>
              <w:left w:type="dxa" w:w="130"/>
              <w:bottom w:type="dxa" w:w="90"/>
              <w:right w:type="dxa" w:w="130"/>
            </w:tcMar>
          </w:tcPr>
          <w:p>
            <w:r>
              <w:rPr>
                <w:b/>
                <w:bCs/>
                <w:color w:val="FFFFFF"/>
              </w:rPr>
              <w:t xml:space="preserve">Poste budgétaire</w:t>
            </w:r>
          </w:p>
        </w:tc>
        <w:tc>
          <w:tcPr>
            <w:tcW w:type="dxa" w:w="3000"/>
            <w:tcBorders>
              <w:top w:val="single" w:color="CCCCCC" w:sz="1"/>
              <w:left w:val="single" w:color="CCCCCC" w:sz="1"/>
              <w:bottom w:val="single" w:color="CCCCCC" w:sz="1"/>
              <w:right w:val="single" w:color="CCCCCC" w:sz="1"/>
            </w:tcBorders>
            <w:shd w:fill="0B1020" w:val="clear"/>
            <w:tcMar>
              <w:top w:type="dxa" w:w="90"/>
              <w:left w:type="dxa" w:w="130"/>
              <w:bottom w:type="dxa" w:w="90"/>
              <w:right w:type="dxa" w:w="130"/>
            </w:tcMar>
          </w:tcPr>
          <w:p>
            <w:r>
              <w:rPr>
                <w:b/>
                <w:bCs/>
                <w:color w:val="FFFFFF"/>
              </w:rPr>
              <w:t xml:space="preserve">Montant estimé</w:t>
            </w:r>
          </w:p>
        </w:tc>
      </w:tr>
      <w:tr>
        <w:tc>
          <w:tcPr>
            <w:tcW w:type="dxa" w:w="63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Analyse et cadrage</w:t>
            </w:r>
          </w:p>
        </w:tc>
        <w:tc>
          <w:tcPr>
            <w:tcW w:type="dxa" w:w="30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63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Configuration et automatisation</w:t>
            </w:r>
          </w:p>
        </w:tc>
        <w:tc>
          <w:tcPr>
            <w:tcW w:type="dxa" w:w="30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63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Intégrations techniques</w:t>
            </w:r>
          </w:p>
        </w:tc>
        <w:tc>
          <w:tcPr>
            <w:tcW w:type="dxa" w:w="30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63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Tests et mise en production</w:t>
            </w:r>
          </w:p>
        </w:tc>
        <w:tc>
          <w:tcPr>
            <w:tcW w:type="dxa" w:w="30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636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Formation et accompagnement</w:t>
            </w:r>
          </w:p>
        </w:tc>
        <w:tc>
          <w:tcPr>
            <w:tcW w:type="dxa" w:w="3000"/>
            <w:tcBorders>
              <w:top w:val="single" w:color="CCCCCC" w:sz="1"/>
              <w:left w:val="single" w:color="CCCCCC" w:sz="1"/>
              <w:bottom w:val="single" w:color="CCCCCC" w:sz="1"/>
              <w:right w:val="single" w:color="CCCCCC" w:sz="1"/>
            </w:tcBorders>
            <w:tcMar>
              <w:top w:type="dxa" w:w="90"/>
              <w:left w:type="dxa" w:w="130"/>
              <w:bottom w:type="dxa" w:w="90"/>
              <w:right w:type="dxa" w:w="130"/>
            </w:tcMar>
          </w:tcPr>
          <w:p>
            <w:r>
              <w:rPr>
                <w:b w:val="false"/>
                <w:bCs w:val="false"/>
              </w:rPr>
              <w:t xml:space="preserve"/>
            </w:r>
          </w:p>
        </w:tc>
      </w:tr>
      <w:tr>
        <w:tc>
          <w:tcPr>
            <w:tcW w:type="dxa" w:w="6360"/>
            <w:tcBorders>
              <w:top w:val="single" w:color="CCCCCC" w:sz="1"/>
              <w:left w:val="single" w:color="CCCCCC" w:sz="1"/>
              <w:bottom w:val="single" w:color="CCCCCC" w:sz="1"/>
              <w:right w:val="single" w:color="CCCCCC" w:sz="1"/>
            </w:tcBorders>
            <w:shd w:fill="F1F5F9" w:val="clear"/>
            <w:tcMar>
              <w:top w:type="dxa" w:w="90"/>
              <w:left w:type="dxa" w:w="130"/>
              <w:bottom w:type="dxa" w:w="90"/>
              <w:right w:type="dxa" w:w="130"/>
            </w:tcMar>
          </w:tcPr>
          <w:p>
            <w:r>
              <w:rPr>
                <w:b/>
                <w:bCs/>
              </w:rPr>
              <w:t xml:space="preserve">Total du projet</w:t>
            </w:r>
          </w:p>
        </w:tc>
        <w:tc>
          <w:tcPr>
            <w:tcW w:type="dxa" w:w="3000"/>
            <w:tcBorders>
              <w:top w:val="single" w:color="CCCCCC" w:sz="1"/>
              <w:left w:val="single" w:color="CCCCCC" w:sz="1"/>
              <w:bottom w:val="single" w:color="CCCCCC" w:sz="1"/>
              <w:right w:val="single" w:color="CCCCCC" w:sz="1"/>
            </w:tcBorders>
            <w:shd w:fill="F1F5F9" w:val="clear"/>
            <w:tcMar>
              <w:top w:type="dxa" w:w="90"/>
              <w:left w:type="dxa" w:w="130"/>
              <w:bottom w:type="dxa" w:w="90"/>
              <w:right w:type="dxa" w:w="130"/>
            </w:tcMar>
          </w:tcPr>
          <w:p>
            <w:r>
              <w:rPr>
                <w:b w:val="false"/>
                <w:bCs w:val="false"/>
              </w:rPr>
              <w:t xml:space="preserve"/>
            </w:r>
          </w:p>
        </w:tc>
      </w:tr>
    </w:tbl>
    <w:p>
      <w:pPr>
        <w:pStyle w:val="Heading2"/>
      </w:pPr>
      <w:r>
        <w:t xml:space="preserve">9. Admissibilite potentielle</w:t>
      </w:r>
    </w:p>
    <w:p>
      <w:pPr>
        <w:spacing w:after="120"/>
      </w:pPr>
      <w:r>
        <w:rPr>
          <w:b w:val="false"/>
          <w:bCs w:val="false"/>
          <w:i w:val="false"/>
          <w:iCs w:val="false"/>
        </w:rPr>
        <w:t xml:space="preserve">Le projet peut etre presente comme un projet d'adoption de l'IA, de transformation numerique, d'automatisation des processus ou d'amelioration de la productivite. L'entreprise cliente demeure le demandeur principal de la plupart des programmes; Fluxel agit comme fournisseur / partenaire d'implantation. Exemples de programmes : Programme canadien d'adoption du numerique (PCAN), ESSOR (Investissement Quebec), initiatives regionales en IA, PIIA.</w:t>
      </w:r>
    </w:p>
    <w:p>
      <w:pPr>
        <w:pStyle w:val="Heading2"/>
      </w:pPr>
      <w:r>
        <w:t xml:space="preserve">10. Documents a preparer</w:t>
      </w:r>
    </w:p>
    <w:p>
      <w:pPr>
        <w:pStyle w:val="ListParagraph"/>
        <w:numPr>
          <w:ilvl w:val="0"/>
          <w:numId w:val="2"/>
        </w:numPr>
      </w:pPr>
      <w:r>
        <w:t xml:space="preserve">Description de l'entreprise et probleme d'affaires a resoudre.</w:t>
      </w:r>
    </w:p>
    <w:p>
      <w:pPr>
        <w:pStyle w:val="ListParagraph"/>
        <w:numPr>
          <w:ilvl w:val="0"/>
          <w:numId w:val="2"/>
        </w:numPr>
      </w:pPr>
      <w:r>
        <w:t xml:space="preserve">Description du projet et des technologies utilisees.</w:t>
      </w:r>
    </w:p>
    <w:p>
      <w:pPr>
        <w:pStyle w:val="ListParagraph"/>
        <w:numPr>
          <w:ilvl w:val="0"/>
          <w:numId w:val="2"/>
        </w:numPr>
      </w:pPr>
      <w:r>
        <w:t xml:space="preserve">Budget detaille et calendrier de realisation.</w:t>
      </w:r>
    </w:p>
    <w:p>
      <w:pPr>
        <w:pStyle w:val="ListParagraph"/>
        <w:numPr>
          <w:ilvl w:val="0"/>
          <w:numId w:val="2"/>
        </w:numPr>
      </w:pPr>
      <w:r>
        <w:t xml:space="preserve">Retombees attendues sur la productivite et les operations.</w:t>
      </w:r>
    </w:p>
    <w:p>
      <w:pPr>
        <w:pStyle w:val="ListParagraph"/>
        <w:numPr>
          <w:ilvl w:val="0"/>
          <w:numId w:val="2"/>
        </w:numPr>
      </w:pPr>
      <w:r>
        <w:t xml:space="preserve">Soumission / proposition de service Fluxel.</w:t>
      </w:r>
    </w:p>
    <w:p>
      <w:pPr>
        <w:pStyle w:val="ListParagraph"/>
        <w:numPr>
          <w:ilvl w:val="0"/>
          <w:numId w:val="2"/>
        </w:numPr>
      </w:pPr>
      <w:r>
        <w:t xml:space="preserve">Etats financiers ou documents administratifs exiges par le programme.</w:t>
      </w:r>
    </w:p>
    <w:p>
      <w:pPr>
        <w:pBdr>
          <w:left w:val="single" w:color="94A3B8" w:sz="18" w:space="8"/>
        </w:pBdr>
        <w:shd w:fill="F1F5F9" w:val="clear"/>
        <w:spacing w:before="200"/>
      </w:pPr>
      <w:r>
        <w:rPr>
          <w:b/>
          <w:bCs/>
        </w:rPr>
        <w:t xml:space="preserve">Precision importante. </w:t>
      </w:r>
      <w:r>
        <w:t xml:space="preserve">L'admissibilite a une subvention depend du programme choisi, du secteur, de la taille du projet, du budget admissible et des criteres en vigueur au moment du depot. Aucun financement n'est automatique. Ce document est un gabarit d'appui et ne constitue ni une garantie d'obtention, ni un avis juridique ou financier.</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Fluxel · Automatisation IA pour PME · Montréal, Québec · fluxel.tfnmedia.tech   —   page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120"/>
      <w:outlineLvl w:val="0"/>
    </w:pPr>
    <w:rPr>
      <w:rFonts w:ascii="Arial" w:cs="Arial" w:eastAsia="Arial" w:hAnsi="Arial"/>
      <w:b/>
      <w:bCs/>
      <w:color w:val="0B1020"/>
      <w:sz w:val="36"/>
      <w:szCs w:val="36"/>
    </w:rPr>
  </w:style>
  <w:style w:type="paragraph" w:styleId="Heading2">
    <w:name w:val="Heading 2"/>
    <w:basedOn w:val="Normal"/>
    <w:next w:val="Normal"/>
    <w:qFormat/>
    <w:pPr>
      <w:spacing w:after="120" w:before="260"/>
      <w:outlineLvl w:val="1"/>
    </w:pPr>
    <w:rPr>
      <w:rFonts w:ascii="Arial" w:cs="Arial" w:eastAsia="Arial" w:hAnsi="Arial"/>
      <w:b/>
      <w:bCs/>
      <w:color w:val="1F2937"/>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64492494d0d47e7d1f499416a59994406c09553.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2026-06-07T15:41:37.843Z</dcterms:created>
  <dcterms:modified xsi:type="dcterms:W3CDTF">2026-06-07T15:41:37.844Z</dcterms:modified>
</cp:coreProperties>
</file>

<file path=docProps/custom.xml><?xml version="1.0" encoding="utf-8"?>
<Properties xmlns="http://schemas.openxmlformats.org/officeDocument/2006/custom-properties" xmlns:vt="http://schemas.openxmlformats.org/officeDocument/2006/docPropsVTypes"/>
</file>